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32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32"/>
          <w:szCs w:val="44"/>
        </w:rPr>
        <w:t>教学设计目录模板</w:t>
      </w:r>
    </w:p>
    <w:bookmarkEnd w:id="0"/>
    <w:p>
      <w:pPr>
        <w:adjustRightInd w:val="0"/>
        <w:snapToGrid w:val="0"/>
        <w:spacing w:line="560" w:lineRule="exact"/>
        <w:jc w:val="center"/>
        <w:outlineLvl w:val="0"/>
        <w:rPr>
          <w:rFonts w:ascii="楷体_GB2312" w:hAnsi="Times New Roman" w:eastAsia="楷体_GB2312"/>
          <w:color w:val="0000FF"/>
          <w:sz w:val="32"/>
          <w:szCs w:val="32"/>
        </w:rPr>
      </w:pPr>
      <w:r>
        <w:rPr>
          <w:rFonts w:hint="eastAsia" w:ascii="楷体_GB2312" w:hAnsi="Times New Roman" w:eastAsia="楷体_GB2312"/>
          <w:color w:val="0000FF"/>
          <w:sz w:val="32"/>
          <w:szCs w:val="32"/>
        </w:rPr>
        <w:t>（仅供参考）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ascii="楷体_GB2312" w:hAnsi="Times New Roman" w:eastAsia="楷体_GB2312"/>
          <w:sz w:val="32"/>
          <w:szCs w:val="32"/>
        </w:rPr>
      </w:pPr>
    </w:p>
    <w:p>
      <w:pPr>
        <w:widowControl/>
        <w:ind w:firstLine="561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《教育心理学》教学大纲中基本教学内容共</w:t>
      </w:r>
      <w:r>
        <w:rPr>
          <w:rFonts w:hint="eastAsia" w:ascii="仿宋_GB2312" w:eastAsia="仿宋_GB2312"/>
          <w:kern w:val="0"/>
          <w:sz w:val="28"/>
          <w:szCs w:val="28"/>
        </w:rPr>
        <w:t>25</w:t>
      </w:r>
      <w:r>
        <w:rPr>
          <w:rFonts w:hint="eastAsia" w:ascii="仿宋_GB2312" w:hAnsi="宋体" w:eastAsia="仿宋_GB2312"/>
          <w:kern w:val="0"/>
          <w:sz w:val="28"/>
          <w:szCs w:val="28"/>
        </w:rPr>
        <w:t>章，此次教学设计的</w:t>
      </w:r>
      <w:r>
        <w:rPr>
          <w:rFonts w:hint="eastAsia" w:ascii="仿宋_GB2312" w:eastAsia="仿宋_GB2312"/>
          <w:kern w:val="0"/>
          <w:sz w:val="28"/>
          <w:szCs w:val="28"/>
        </w:rPr>
        <w:t>10</w:t>
      </w:r>
      <w:r>
        <w:rPr>
          <w:rFonts w:hint="eastAsia" w:ascii="仿宋_GB2312" w:hAnsi="宋体" w:eastAsia="仿宋_GB2312"/>
          <w:kern w:val="0"/>
          <w:sz w:val="28"/>
          <w:szCs w:val="28"/>
        </w:rPr>
        <w:t>个节段选自第</w:t>
      </w:r>
      <w:r>
        <w:rPr>
          <w:rFonts w:hint="eastAsia" w:ascii="仿宋_GB2312" w:eastAsia="仿宋_GB2312"/>
          <w:kern w:val="0"/>
          <w:sz w:val="28"/>
          <w:szCs w:val="28"/>
        </w:rPr>
        <w:t>5</w:t>
      </w:r>
      <w:r>
        <w:rPr>
          <w:rFonts w:hint="eastAsia" w:ascii="仿宋_GB2312" w:hAnsi="宋体" w:eastAsia="仿宋_GB2312"/>
          <w:kern w:val="0"/>
          <w:sz w:val="28"/>
          <w:szCs w:val="28"/>
        </w:rPr>
        <w:t>、6、</w:t>
      </w:r>
      <w:r>
        <w:rPr>
          <w:rFonts w:hint="eastAsia" w:ascii="仿宋_GB2312" w:eastAsia="仿宋_GB2312"/>
          <w:kern w:val="0"/>
          <w:sz w:val="28"/>
          <w:szCs w:val="28"/>
        </w:rPr>
        <w:t>7</w:t>
      </w:r>
      <w:r>
        <w:rPr>
          <w:rFonts w:hint="eastAsia" w:ascii="仿宋_GB2312" w:hAnsi="宋体" w:eastAsia="仿宋_GB2312"/>
          <w:kern w:val="0"/>
          <w:sz w:val="28"/>
          <w:szCs w:val="28"/>
        </w:rPr>
        <w:t>、8、</w:t>
      </w:r>
      <w:r>
        <w:rPr>
          <w:rFonts w:hint="eastAsia" w:ascii="仿宋_GB2312" w:eastAsia="仿宋_GB2312"/>
          <w:kern w:val="0"/>
          <w:sz w:val="28"/>
          <w:szCs w:val="28"/>
        </w:rPr>
        <w:t>9</w:t>
      </w:r>
      <w:r>
        <w:rPr>
          <w:rFonts w:hint="eastAsia" w:ascii="仿宋_GB2312" w:hAnsi="宋体" w:eastAsia="仿宋_GB2312"/>
          <w:kern w:val="0"/>
          <w:sz w:val="28"/>
          <w:szCs w:val="28"/>
        </w:rPr>
        <w:t>和10章。</w:t>
      </w:r>
    </w:p>
    <w:p>
      <w:pPr>
        <w:widowControl/>
        <w:tabs>
          <w:tab w:val="right" w:leader="dot" w:pos="8532"/>
          <w:tab w:val="left" w:leader="dot" w:pos="12008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1.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斯金纳的经典实验及行为分类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ab/>
      </w:r>
      <w:r>
        <w:rPr>
          <w:rFonts w:hint="eastAsia" w:ascii="仿宋_GB2312" w:eastAsia="仿宋_GB2312"/>
          <w:bCs/>
          <w:kern w:val="0"/>
          <w:sz w:val="28"/>
          <w:szCs w:val="28"/>
        </w:rPr>
        <w:t>1</w:t>
      </w:r>
    </w:p>
    <w:p>
      <w:pPr>
        <w:widowControl/>
        <w:ind w:firstLine="316" w:firstLineChars="113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选自第五章：学习的联结理论</w:t>
      </w:r>
      <w:r>
        <w:rPr>
          <w:rFonts w:hint="eastAsia" w:ascii="仿宋_GB2312" w:eastAsia="仿宋_GB2312"/>
          <w:kern w:val="0"/>
          <w:sz w:val="28"/>
          <w:szCs w:val="28"/>
        </w:rPr>
        <w:t>/</w:t>
      </w:r>
      <w:r>
        <w:rPr>
          <w:rFonts w:hint="eastAsia" w:ascii="仿宋_GB2312" w:hAnsi="宋体" w:eastAsia="仿宋_GB2312"/>
          <w:kern w:val="0"/>
          <w:sz w:val="28"/>
          <w:szCs w:val="28"/>
        </w:rPr>
        <w:t>第六节：斯金纳的操作性条件作用说</w:t>
      </w:r>
    </w:p>
    <w:p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2.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格式塔学派的经典实验</w:t>
      </w:r>
      <w:r>
        <w:rPr>
          <w:rFonts w:hint="eastAsia" w:ascii="仿宋_GB2312" w:hAnsi="宋体" w:eastAsia="仿宋_GB2312"/>
          <w:bCs/>
          <w:spacing w:val="-32"/>
          <w:kern w:val="0"/>
          <w:sz w:val="28"/>
          <w:szCs w:val="28"/>
        </w:rPr>
        <w:tab/>
      </w:r>
      <w:r>
        <w:rPr>
          <w:rFonts w:hint="eastAsia" w:ascii="仿宋_GB2312" w:eastAsia="仿宋_GB2312"/>
          <w:bCs/>
          <w:kern w:val="0"/>
          <w:sz w:val="28"/>
          <w:szCs w:val="28"/>
        </w:rPr>
        <w:t>4</w:t>
      </w:r>
    </w:p>
    <w:p>
      <w:pPr>
        <w:widowControl/>
        <w:ind w:firstLine="280" w:firstLineChars="1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选自第六章：学习的认知理论</w:t>
      </w:r>
      <w:r>
        <w:rPr>
          <w:rFonts w:hint="eastAsia" w:ascii="仿宋_GB2312" w:eastAsia="仿宋_GB2312"/>
          <w:kern w:val="0"/>
          <w:sz w:val="28"/>
          <w:szCs w:val="28"/>
        </w:rPr>
        <w:t>/</w:t>
      </w:r>
      <w:r>
        <w:rPr>
          <w:rFonts w:hint="eastAsia" w:ascii="仿宋_GB2312" w:hAnsi="宋体" w:eastAsia="仿宋_GB2312"/>
          <w:kern w:val="0"/>
          <w:sz w:val="28"/>
          <w:szCs w:val="28"/>
        </w:rPr>
        <w:t>第一节：格式塔学派的完形——顿悟说</w:t>
      </w:r>
    </w:p>
    <w:p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3.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学习的信息加工模式</w:t>
      </w:r>
      <w:r>
        <w:rPr>
          <w:rFonts w:hint="eastAsia" w:ascii="仿宋_GB2312" w:hAnsi="宋体" w:eastAsia="仿宋_GB2312"/>
          <w:bCs/>
          <w:spacing w:val="-32"/>
          <w:kern w:val="0"/>
          <w:sz w:val="28"/>
          <w:szCs w:val="28"/>
        </w:rPr>
        <w:tab/>
      </w:r>
      <w:r>
        <w:rPr>
          <w:rFonts w:hint="eastAsia" w:ascii="仿宋_GB2312" w:eastAsia="仿宋_GB2312"/>
          <w:bCs/>
          <w:kern w:val="0"/>
          <w:sz w:val="28"/>
          <w:szCs w:val="28"/>
        </w:rPr>
        <w:t>8</w:t>
      </w:r>
    </w:p>
    <w:p>
      <w:pPr>
        <w:widowControl/>
        <w:ind w:firstLine="280" w:firstLineChars="1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选自第七章：学习的联结——认知理论</w:t>
      </w:r>
      <w:r>
        <w:rPr>
          <w:rFonts w:hint="eastAsia" w:ascii="仿宋_GB2312" w:eastAsia="仿宋_GB2312"/>
          <w:kern w:val="0"/>
          <w:sz w:val="28"/>
          <w:szCs w:val="28"/>
        </w:rPr>
        <w:t>/</w:t>
      </w:r>
      <w:r>
        <w:rPr>
          <w:rFonts w:hint="eastAsia" w:ascii="仿宋_GB2312" w:hAnsi="宋体" w:eastAsia="仿宋_GB2312"/>
          <w:kern w:val="0"/>
          <w:sz w:val="28"/>
          <w:szCs w:val="28"/>
        </w:rPr>
        <w:t>第二节：加涅的信息加工学习理论</w:t>
      </w:r>
    </w:p>
    <w:p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4.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班杜拉的经典实验</w:t>
      </w:r>
      <w:r>
        <w:rPr>
          <w:rFonts w:hint="eastAsia" w:ascii="仿宋_GB2312" w:hAnsi="宋体" w:eastAsia="仿宋_GB2312"/>
          <w:bCs/>
          <w:spacing w:val="-34"/>
          <w:kern w:val="0"/>
          <w:sz w:val="28"/>
          <w:szCs w:val="28"/>
        </w:rPr>
        <w:tab/>
      </w:r>
      <w:r>
        <w:rPr>
          <w:rFonts w:hint="eastAsia" w:ascii="仿宋_GB2312" w:eastAsia="仿宋_GB2312"/>
          <w:bCs/>
          <w:kern w:val="0"/>
          <w:sz w:val="28"/>
          <w:szCs w:val="28"/>
        </w:rPr>
        <w:t>12</w:t>
      </w:r>
    </w:p>
    <w:p>
      <w:pPr>
        <w:widowControl/>
        <w:ind w:firstLine="280" w:firstLineChars="1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选自第七章：学习的联结——认知理论</w:t>
      </w:r>
      <w:r>
        <w:rPr>
          <w:rFonts w:hint="eastAsia" w:ascii="仿宋_GB2312" w:eastAsia="仿宋_GB2312"/>
          <w:kern w:val="0"/>
          <w:sz w:val="28"/>
          <w:szCs w:val="28"/>
        </w:rPr>
        <w:t>/</w:t>
      </w:r>
      <w:r>
        <w:rPr>
          <w:rFonts w:hint="eastAsia" w:ascii="仿宋_GB2312" w:hAnsi="宋体" w:eastAsia="仿宋_GB2312"/>
          <w:kern w:val="0"/>
          <w:sz w:val="28"/>
          <w:szCs w:val="28"/>
        </w:rPr>
        <w:t>第三节：班杜拉的观察学习理论</w:t>
      </w:r>
    </w:p>
    <w:p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5.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当事人中心疗法</w:t>
      </w:r>
      <w:r>
        <w:rPr>
          <w:rFonts w:hint="eastAsia" w:ascii="仿宋_GB2312" w:hAnsi="宋体" w:eastAsia="仿宋_GB2312"/>
          <w:bCs/>
          <w:spacing w:val="-34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bCs/>
          <w:spacing w:val="-34"/>
          <w:kern w:val="0"/>
          <w:sz w:val="28"/>
          <w:szCs w:val="28"/>
        </w:rPr>
        <w:t>15</w:t>
      </w:r>
    </w:p>
    <w:p>
      <w:pPr>
        <w:widowControl/>
        <w:ind w:firstLine="280" w:firstLineChars="1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选自第八章：人本主义学习理论</w:t>
      </w:r>
      <w:r>
        <w:rPr>
          <w:rFonts w:hint="eastAsia" w:ascii="仿宋_GB2312" w:eastAsia="仿宋_GB2312"/>
          <w:kern w:val="0"/>
          <w:sz w:val="28"/>
          <w:szCs w:val="28"/>
        </w:rPr>
        <w:t>/</w:t>
      </w:r>
      <w:r>
        <w:rPr>
          <w:rFonts w:hint="eastAsia" w:ascii="仿宋_GB2312" w:hAnsi="宋体" w:eastAsia="仿宋_GB2312"/>
          <w:kern w:val="0"/>
          <w:sz w:val="28"/>
          <w:szCs w:val="28"/>
        </w:rPr>
        <w:t>第二节：人本主义学习理论的心理基础</w:t>
      </w:r>
    </w:p>
    <w:p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6.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学生中心的教学观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ab/>
      </w:r>
      <w:r>
        <w:rPr>
          <w:rFonts w:hint="eastAsia" w:ascii="仿宋_GB2312" w:eastAsia="仿宋_GB2312"/>
          <w:bCs/>
          <w:kern w:val="0"/>
          <w:sz w:val="28"/>
          <w:szCs w:val="28"/>
        </w:rPr>
        <w:t>18</w:t>
      </w:r>
    </w:p>
    <w:p>
      <w:pPr>
        <w:widowControl/>
        <w:ind w:firstLine="280" w:firstLineChars="1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选自第八章：人本主义学习理论</w:t>
      </w:r>
      <w:r>
        <w:rPr>
          <w:rFonts w:hint="eastAsia" w:ascii="仿宋_GB2312" w:eastAsia="仿宋_GB2312"/>
          <w:kern w:val="0"/>
          <w:sz w:val="28"/>
          <w:szCs w:val="28"/>
        </w:rPr>
        <w:t>/</w:t>
      </w:r>
      <w:r>
        <w:rPr>
          <w:rFonts w:hint="eastAsia" w:ascii="仿宋_GB2312" w:hAnsi="宋体" w:eastAsia="仿宋_GB2312"/>
          <w:kern w:val="0"/>
          <w:sz w:val="28"/>
          <w:szCs w:val="28"/>
        </w:rPr>
        <w:t>第三节：人本主义学习理论的教育主张</w:t>
      </w:r>
    </w:p>
    <w:p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7.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生成学习理论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ab/>
      </w:r>
      <w:r>
        <w:rPr>
          <w:rFonts w:hint="eastAsia" w:ascii="仿宋_GB2312" w:eastAsia="仿宋_GB2312"/>
          <w:bCs/>
          <w:kern w:val="0"/>
          <w:sz w:val="28"/>
          <w:szCs w:val="28"/>
        </w:rPr>
        <w:t>21</w:t>
      </w:r>
    </w:p>
    <w:p>
      <w:pPr>
        <w:widowControl/>
        <w:ind w:firstLine="280" w:firstLineChars="10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选自第九章：建构主义学习理论</w:t>
      </w:r>
      <w:r>
        <w:rPr>
          <w:rFonts w:hint="eastAsia" w:ascii="仿宋_GB2312" w:eastAsia="仿宋_GB2312"/>
          <w:kern w:val="0"/>
          <w:sz w:val="28"/>
          <w:szCs w:val="28"/>
        </w:rPr>
        <w:t>/</w:t>
      </w:r>
      <w:r>
        <w:rPr>
          <w:rFonts w:hint="eastAsia" w:ascii="仿宋_GB2312" w:hAnsi="宋体" w:eastAsia="仿宋_GB2312"/>
          <w:kern w:val="0"/>
          <w:sz w:val="28"/>
          <w:szCs w:val="28"/>
        </w:rPr>
        <w:t>第三节：认知建构主义学习理论</w:t>
      </w:r>
    </w:p>
    <w:p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8.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支架式教学：文化内化与活动理论的应用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ab/>
      </w:r>
      <w:r>
        <w:rPr>
          <w:rFonts w:hint="eastAsia" w:ascii="仿宋_GB2312" w:eastAsia="仿宋_GB2312"/>
          <w:bCs/>
          <w:kern w:val="0"/>
          <w:sz w:val="28"/>
          <w:szCs w:val="28"/>
        </w:rPr>
        <w:t>25</w:t>
      </w:r>
    </w:p>
    <w:p>
      <w:pPr>
        <w:widowControl/>
        <w:ind w:firstLine="280" w:firstLineChars="1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选自第九章：建构主义学习理论</w:t>
      </w:r>
      <w:r>
        <w:rPr>
          <w:rFonts w:hint="eastAsia" w:ascii="仿宋_GB2312" w:eastAsia="仿宋_GB2312"/>
          <w:kern w:val="0"/>
          <w:sz w:val="28"/>
          <w:szCs w:val="28"/>
        </w:rPr>
        <w:t>/</w:t>
      </w:r>
      <w:r>
        <w:rPr>
          <w:rFonts w:hint="eastAsia" w:ascii="仿宋_GB2312" w:hAnsi="宋体" w:eastAsia="仿宋_GB2312"/>
          <w:kern w:val="0"/>
          <w:sz w:val="28"/>
          <w:szCs w:val="28"/>
        </w:rPr>
        <w:t>第四节：社会建构主义学习理论</w:t>
      </w:r>
    </w:p>
    <w:p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9.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学习的含义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ab/>
      </w:r>
      <w:r>
        <w:rPr>
          <w:rFonts w:hint="eastAsia" w:ascii="仿宋_GB2312" w:eastAsia="仿宋_GB2312"/>
          <w:bCs/>
          <w:kern w:val="0"/>
          <w:sz w:val="28"/>
          <w:szCs w:val="28"/>
        </w:rPr>
        <w:t>28</w:t>
      </w:r>
    </w:p>
    <w:p>
      <w:pPr>
        <w:widowControl/>
        <w:ind w:firstLine="280" w:firstLineChars="1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选自第十章：学习的含义、机制与类型</w:t>
      </w:r>
      <w:r>
        <w:rPr>
          <w:rFonts w:hint="eastAsia" w:ascii="仿宋_GB2312" w:eastAsia="仿宋_GB2312"/>
          <w:kern w:val="0"/>
          <w:sz w:val="28"/>
          <w:szCs w:val="28"/>
        </w:rPr>
        <w:t>/</w:t>
      </w:r>
      <w:r>
        <w:rPr>
          <w:rFonts w:hint="eastAsia" w:ascii="仿宋_GB2312" w:hAnsi="宋体" w:eastAsia="仿宋_GB2312"/>
          <w:kern w:val="0"/>
          <w:sz w:val="28"/>
          <w:szCs w:val="28"/>
        </w:rPr>
        <w:t>第一节：学习的含义与作用</w:t>
      </w:r>
    </w:p>
    <w:p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10.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中国古代的学习过程观点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ab/>
      </w:r>
      <w:r>
        <w:rPr>
          <w:rFonts w:hint="eastAsia" w:ascii="仿宋_GB2312" w:eastAsia="仿宋_GB2312"/>
          <w:bCs/>
          <w:kern w:val="0"/>
          <w:sz w:val="28"/>
          <w:szCs w:val="28"/>
        </w:rPr>
        <w:t>31</w:t>
      </w:r>
    </w:p>
    <w:p>
      <w:pPr>
        <w:widowControl/>
        <w:ind w:firstLine="280" w:firstLineChars="10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选自第十章：学习的含义、机制与类型</w:t>
      </w:r>
      <w:r>
        <w:rPr>
          <w:rFonts w:hint="eastAsia" w:ascii="仿宋_GB2312" w:eastAsia="仿宋_GB2312"/>
          <w:kern w:val="0"/>
          <w:sz w:val="28"/>
          <w:szCs w:val="28"/>
        </w:rPr>
        <w:t>/</w:t>
      </w:r>
      <w:r>
        <w:rPr>
          <w:rFonts w:hint="eastAsia" w:ascii="仿宋_GB2312" w:hAnsi="宋体" w:eastAsia="仿宋_GB2312"/>
          <w:kern w:val="0"/>
          <w:sz w:val="28"/>
          <w:szCs w:val="28"/>
        </w:rPr>
        <w:t>第二节：学习的内在机制</w:t>
      </w:r>
    </w:p>
    <w:p>
      <w:pPr>
        <w:widowControl/>
        <w:jc w:val="left"/>
        <w:rPr>
          <w:rFonts w:hint="eastAsia" w:ascii="Times New Roman" w:hAnsi="Times New Roman" w:eastAsia="仿宋_GB2312"/>
          <w:sz w:val="30"/>
          <w:szCs w:val="30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C0D5AD1-2F05-48BC-91CC-F0B2AEE07F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AD29FA5-2134-46A5-AFA2-179C6BCFA702}"/>
  </w:font>
  <w:font w:name="楷体_GB2312">
    <w:altName w:val="楷体"/>
    <w:panose1 w:val="020B0604020202020204"/>
    <w:charset w:val="86"/>
    <w:family w:val="roman"/>
    <w:pitch w:val="default"/>
    <w:sig w:usb0="00000000" w:usb1="00000000" w:usb2="00000010" w:usb3="00000000" w:csb0="00040000" w:csb1="00000000"/>
    <w:embedRegular r:id="rId3" w:fontKey="{21702451-86C4-4786-B121-3F65DCECFADF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4" w:fontKey="{28C72556-A868-4F90-94BD-A81E5BAFFA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2N2NjNjc2OWY2ZjhhNThlZWY3YzUxNzdmNmMzM2IifQ=="/>
  </w:docVars>
  <w:rsids>
    <w:rsidRoot w:val="00583822"/>
    <w:rsid w:val="00583822"/>
    <w:rsid w:val="00DF4D8D"/>
    <w:rsid w:val="00E4374B"/>
    <w:rsid w:val="0122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506</Characters>
  <Lines>3</Lines>
  <Paragraphs>1</Paragraphs>
  <TotalTime>1</TotalTime>
  <ScaleCrop>false</ScaleCrop>
  <LinksUpToDate>false</LinksUpToDate>
  <CharactersWithSpaces>516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2020-04-30T10:10:00Z</dcterms:created>
  <dc:creator>孙 雅雯</dc:creator>
  <cp:lastModifiedBy>唐朝</cp:lastModifiedBy>
  <dcterms:modified xsi:type="dcterms:W3CDTF">2023-06-20T08:40:41Z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0D2B68072EEA41AD97D2A868F9716A1E_12</vt:lpwstr>
  </property>
</Properties>
</file>