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eastAsia="仿宋_GB2312"/>
          <w:b/>
          <w:sz w:val="30"/>
          <w:szCs w:val="30"/>
        </w:rPr>
      </w:pPr>
      <w:bookmarkStart w:id="0" w:name="_GoBack"/>
      <w:bookmarkEnd w:id="0"/>
      <w:r>
        <w:rPr>
          <w:rFonts w:hint="eastAsia" w:ascii="仿宋_GB2312" w:eastAsia="仿宋_GB2312"/>
          <w:b/>
          <w:sz w:val="30"/>
          <w:szCs w:val="30"/>
        </w:rPr>
        <w:t>广东省高等教育教学改革项目验收指标（试行）</w:t>
      </w:r>
    </w:p>
    <w:tbl>
      <w:tblPr>
        <w:tblStyle w:val="6"/>
        <w:tblW w:w="1480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0"/>
        <w:gridCol w:w="2268"/>
        <w:gridCol w:w="10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tblHeader/>
          <w:jc w:val="center"/>
        </w:trPr>
        <w:tc>
          <w:tcPr>
            <w:tcW w:w="250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一级指标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二级指标</w:t>
            </w:r>
          </w:p>
        </w:tc>
        <w:tc>
          <w:tcPr>
            <w:tcW w:w="1003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指标内涵说明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tblHeader/>
          <w:jc w:val="center"/>
        </w:trPr>
        <w:tc>
          <w:tcPr>
            <w:tcW w:w="25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基本情况（10分）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建设任务完成情况</w:t>
            </w:r>
          </w:p>
        </w:tc>
        <w:tc>
          <w:tcPr>
            <w:tcW w:w="10038" w:type="dxa"/>
            <w:shd w:val="clear" w:color="auto" w:fill="auto"/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基本完成了申报时预设的各项建设目标。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tblHeader/>
          <w:jc w:val="center"/>
        </w:trPr>
        <w:tc>
          <w:tcPr>
            <w:tcW w:w="25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建设思路</w:t>
            </w:r>
          </w:p>
        </w:tc>
        <w:tc>
          <w:tcPr>
            <w:tcW w:w="10038" w:type="dxa"/>
            <w:shd w:val="clear" w:color="auto" w:fill="auto"/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建设思路清晰，优势和特色显著。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2500" w:type="dxa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项目团队基础（10分）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项目团队</w:t>
            </w:r>
          </w:p>
        </w:tc>
        <w:tc>
          <w:tcPr>
            <w:tcW w:w="10038" w:type="dxa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项目负责人学术水平较高且具体主持该项目，项目团队职称、学历及学科背景结构合理，团队各成员间分工协作良好。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2500" w:type="dxa"/>
            <w:vMerge w:val="restart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项目实施及建设情况（35分）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建设实施情况</w:t>
            </w:r>
          </w:p>
        </w:tc>
        <w:tc>
          <w:tcPr>
            <w:tcW w:w="10038" w:type="dxa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项目按照既定实施方案进行建设，对于各阶段建设任务及完成情况都有清晰阐述。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2500" w:type="dxa"/>
            <w:vMerge w:val="continue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改革举措落实情况</w:t>
            </w:r>
          </w:p>
        </w:tc>
        <w:tc>
          <w:tcPr>
            <w:tcW w:w="10038" w:type="dxa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项目申报时预设的各项改革举措如期实施，计划解决的问题已如期得到解决。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2500" w:type="dxa"/>
            <w:vMerge w:val="continue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保障和支持情况</w:t>
            </w:r>
          </w:p>
        </w:tc>
        <w:tc>
          <w:tcPr>
            <w:tcW w:w="10038" w:type="dxa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项目实施过程中得到了学校充足的经费保障和政策支持，能够调动项目需要的研究资源和设备。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jc w:val="center"/>
        </w:trPr>
        <w:tc>
          <w:tcPr>
            <w:tcW w:w="2500" w:type="dxa"/>
            <w:vMerge w:val="restart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建设成果和应用推广（35分）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建设成果</w:t>
            </w:r>
          </w:p>
        </w:tc>
        <w:tc>
          <w:tcPr>
            <w:tcW w:w="10038" w:type="dxa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项目选题和建设成果具有理论和现实意义，对推动我省相关领域教学改革和教学水平提高具有促进作用；项目成果新颖，水平层次较高，有具体的实践成果。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2500" w:type="dxa"/>
            <w:vMerge w:val="continue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实践应用情况</w:t>
            </w:r>
          </w:p>
        </w:tc>
        <w:tc>
          <w:tcPr>
            <w:tcW w:w="10038" w:type="dxa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项目建设成果消化、吸收、应用和整合、集成、深化已有教学改革成果，具有较高的应用推广价值并在本校教学实践中得到有效应用，解决了本学校或本专业教学实践过程中的困难和问题。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2500" w:type="dxa"/>
            <w:vMerge w:val="continue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共享和推广</w:t>
            </w:r>
          </w:p>
        </w:tc>
        <w:tc>
          <w:tcPr>
            <w:tcW w:w="10038" w:type="dxa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项目成果受益面广，已在本校相关专业或同类院校中得到应用和推广，或项目建设成果已其他单位完整采纳。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2500" w:type="dxa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项目特色（10分）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项目水平与特色</w:t>
            </w:r>
          </w:p>
        </w:tc>
        <w:tc>
          <w:tcPr>
            <w:tcW w:w="10038" w:type="dxa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项目在专业与课程建设、教材、教学软件等教学基本建设、教学管理运行机制、教学方法改革、人才培养及教学质量保障机制等方面具有的较高水平，具有自身特色。</w:t>
            </w:r>
          </w:p>
        </w:tc>
      </w:tr>
    </w:tbl>
    <w:p>
      <w:pPr>
        <w:jc w:val="center"/>
        <w:rPr>
          <w:rFonts w:ascii="仿宋_GB2312" w:eastAsia="仿宋_GB2312"/>
          <w:b/>
          <w:sz w:val="30"/>
          <w:szCs w:val="30"/>
        </w:rPr>
      </w:pPr>
    </w:p>
    <w:p>
      <w:pPr>
        <w:jc w:val="center"/>
        <w:rPr>
          <w:rFonts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广东省普通高等学校特色专业建设点评审指标（试行）</w:t>
      </w:r>
    </w:p>
    <w:tbl>
      <w:tblPr>
        <w:tblStyle w:val="6"/>
        <w:tblW w:w="1461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7"/>
        <w:gridCol w:w="2419"/>
        <w:gridCol w:w="9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2367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一级指标</w:t>
            </w:r>
          </w:p>
        </w:tc>
        <w:tc>
          <w:tcPr>
            <w:tcW w:w="2419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二级指标</w:t>
            </w:r>
          </w:p>
        </w:tc>
        <w:tc>
          <w:tcPr>
            <w:tcW w:w="9824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</w:rPr>
              <w:t>评价标准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2367" w:type="dxa"/>
            <w:vMerge w:val="continue"/>
            <w:vAlign w:val="center"/>
          </w:tcPr>
          <w:p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2419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9824" w:type="dxa"/>
            <w:vMerge w:val="continue"/>
            <w:vAlign w:val="center"/>
          </w:tcPr>
          <w:p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2367" w:type="dxa"/>
            <w:vMerge w:val="continue"/>
            <w:vAlign w:val="center"/>
          </w:tcPr>
          <w:p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2419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9824" w:type="dxa"/>
            <w:vMerge w:val="continue"/>
            <w:vAlign w:val="center"/>
          </w:tcPr>
          <w:p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7" w:hRule="atLeast"/>
          <w:jc w:val="center"/>
        </w:trPr>
        <w:tc>
          <w:tcPr>
            <w:tcW w:w="2367" w:type="dxa"/>
            <w:vMerge w:val="restart"/>
            <w:vAlign w:val="center"/>
          </w:tcPr>
          <w:p>
            <w:pPr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1.建设目标与支持保障（15分）</w:t>
            </w:r>
          </w:p>
        </w:tc>
        <w:tc>
          <w:tcPr>
            <w:tcW w:w="241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专业定位</w:t>
            </w:r>
          </w:p>
        </w:tc>
        <w:tc>
          <w:tcPr>
            <w:tcW w:w="9824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专业定位准确，思路清晰，符合经济建设与社会发展需求，具有先进的教育思想观念，质量意识强。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5" w:hRule="atLeast"/>
          <w:jc w:val="center"/>
        </w:trPr>
        <w:tc>
          <w:tcPr>
            <w:tcW w:w="2367" w:type="dxa"/>
            <w:vMerge w:val="continue"/>
            <w:vAlign w:val="center"/>
          </w:tcPr>
          <w:p>
            <w:pPr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41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专业建设措施</w:t>
            </w:r>
          </w:p>
        </w:tc>
        <w:tc>
          <w:tcPr>
            <w:tcW w:w="9824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专业发展规划科学合理, 分期建设目标明确，体现学科优势和特色。专业建设措施得力，成效显著。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7" w:hRule="atLeast"/>
          <w:jc w:val="center"/>
        </w:trPr>
        <w:tc>
          <w:tcPr>
            <w:tcW w:w="2367" w:type="dxa"/>
            <w:vMerge w:val="continue"/>
            <w:vAlign w:val="center"/>
          </w:tcPr>
          <w:p>
            <w:pPr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41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支持保障</w:t>
            </w:r>
          </w:p>
        </w:tc>
        <w:tc>
          <w:tcPr>
            <w:tcW w:w="9824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在专业发展、课程和教材建设、人才引进和青年教师培训等方面有切实有效的政策支持和经费保障。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2" w:hRule="atLeast"/>
          <w:jc w:val="center"/>
        </w:trPr>
        <w:tc>
          <w:tcPr>
            <w:tcW w:w="2367" w:type="dxa"/>
            <w:vMerge w:val="restart"/>
            <w:vAlign w:val="center"/>
          </w:tcPr>
          <w:p>
            <w:pPr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2.师资队伍（15分）</w:t>
            </w:r>
          </w:p>
        </w:tc>
        <w:tc>
          <w:tcPr>
            <w:tcW w:w="241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整体结构</w:t>
            </w:r>
          </w:p>
        </w:tc>
        <w:tc>
          <w:tcPr>
            <w:tcW w:w="9824" w:type="dxa"/>
            <w:vAlign w:val="center"/>
          </w:tcPr>
          <w:p>
            <w:pPr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队伍年龄结构、职称结构、学缘结构合理，发展趋势好。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教授、副教授比例较高，有高</w:t>
            </w:r>
            <w:r>
              <w:rPr>
                <w:rFonts w:hint="eastAsia" w:ascii="仿宋_GB2312" w:eastAsia="仿宋_GB2312"/>
                <w:sz w:val="24"/>
                <w:szCs w:val="24"/>
              </w:rPr>
              <w:t>水平、高学历学科专业带头人，并有效推动本专业的建设。形成专兼职结合的教师队伍。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5" w:hRule="atLeast"/>
          <w:jc w:val="center"/>
        </w:trPr>
        <w:tc>
          <w:tcPr>
            <w:tcW w:w="2367" w:type="dxa"/>
            <w:vMerge w:val="continue"/>
            <w:vAlign w:val="center"/>
          </w:tcPr>
          <w:p>
            <w:pPr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41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师资培养</w:t>
            </w:r>
          </w:p>
        </w:tc>
        <w:tc>
          <w:tcPr>
            <w:tcW w:w="9824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专业师资引进、培养规划和配套措施；有学校和行业、企业相结合的师资培养联动机制，能利用社会资源提升教师专业水平和实践能力。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3" w:hRule="atLeast"/>
          <w:jc w:val="center"/>
        </w:trPr>
        <w:tc>
          <w:tcPr>
            <w:tcW w:w="2367" w:type="dxa"/>
            <w:vMerge w:val="continue"/>
            <w:vAlign w:val="center"/>
          </w:tcPr>
          <w:p>
            <w:pPr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41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教师素质</w:t>
            </w:r>
          </w:p>
        </w:tc>
        <w:tc>
          <w:tcPr>
            <w:tcW w:w="9824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队伍整体素质高，有良好的科研背景和专业技术背景；专业主干课程由教授、副教授讲授；科研促进教学成效明显。项目立项以来，获省部级以上教学成果奖或同等层次的教学奖励超过1项。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7" w:hRule="atLeast"/>
          <w:jc w:val="center"/>
        </w:trPr>
        <w:tc>
          <w:tcPr>
            <w:tcW w:w="2367" w:type="dxa"/>
            <w:vMerge w:val="restart"/>
            <w:vAlign w:val="center"/>
          </w:tcPr>
          <w:p>
            <w:pPr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3.教学条件（10分）</w:t>
            </w:r>
          </w:p>
        </w:tc>
        <w:tc>
          <w:tcPr>
            <w:tcW w:w="241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教学资源</w:t>
            </w:r>
          </w:p>
        </w:tc>
        <w:tc>
          <w:tcPr>
            <w:tcW w:w="9824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教学基本设施（含实验室、实习基地、图书资料、校园网络建设等）能满足培养高素质人才的需要；充分开发、利用多种教学资源（如网上资源、电子教材等）。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7" w:hRule="atLeast"/>
          <w:jc w:val="center"/>
        </w:trPr>
        <w:tc>
          <w:tcPr>
            <w:tcW w:w="2367" w:type="dxa"/>
            <w:vMerge w:val="continue"/>
            <w:vAlign w:val="center"/>
          </w:tcPr>
          <w:p>
            <w:pPr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41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经费投入</w:t>
            </w:r>
          </w:p>
        </w:tc>
        <w:tc>
          <w:tcPr>
            <w:tcW w:w="9824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用于专业师资队伍建设、实验室建设、课程建设、教材建设、教学方法及现代教育技术等专项的建设经费充足。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4" w:hRule="atLeast"/>
          <w:jc w:val="center"/>
        </w:trPr>
        <w:tc>
          <w:tcPr>
            <w:tcW w:w="2367" w:type="dxa"/>
            <w:vMerge w:val="restart"/>
            <w:vAlign w:val="center"/>
          </w:tcPr>
          <w:p>
            <w:pPr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4.建设成果（45分）</w:t>
            </w:r>
          </w:p>
        </w:tc>
        <w:tc>
          <w:tcPr>
            <w:tcW w:w="241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人才培养方案</w:t>
            </w:r>
          </w:p>
        </w:tc>
        <w:tc>
          <w:tcPr>
            <w:tcW w:w="9824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立足于区域文化和产业，社会发展需求制定人才培养方案；培养方案（计划）设计科学，具有显著的专业办学特色，很好地反映培养目标对知识、能力及素质的要求。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6" w:hRule="atLeast"/>
          <w:jc w:val="center"/>
        </w:trPr>
        <w:tc>
          <w:tcPr>
            <w:tcW w:w="2367" w:type="dxa"/>
            <w:vMerge w:val="continue"/>
            <w:vAlign w:val="center"/>
          </w:tcPr>
          <w:p>
            <w:pPr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41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课程与教材建设</w:t>
            </w:r>
          </w:p>
        </w:tc>
        <w:tc>
          <w:tcPr>
            <w:tcW w:w="9824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课程体系和教学内容改革符合创新创业人才培养的要求，课程改革与建设有计划、有措施、成效显著，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近五年建成省级以上精品开放课程≥1门；依托专业建设，形成一系列高水平的教材成果。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8" w:hRule="atLeast"/>
          <w:jc w:val="center"/>
        </w:trPr>
        <w:tc>
          <w:tcPr>
            <w:tcW w:w="2367" w:type="dxa"/>
            <w:vMerge w:val="continue"/>
            <w:vAlign w:val="center"/>
          </w:tcPr>
          <w:p>
            <w:pPr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419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专业教学质量</w:t>
            </w:r>
          </w:p>
        </w:tc>
        <w:tc>
          <w:tcPr>
            <w:tcW w:w="9824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教学质量监控体系科学、完善，运行有效，成效显著；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专业指导委员会能实质性、制度性参与人才培养全过程；</w:t>
            </w:r>
            <w:r>
              <w:rPr>
                <w:rFonts w:hint="eastAsia" w:ascii="仿宋_GB2312" w:eastAsia="仿宋_GB2312"/>
                <w:sz w:val="24"/>
                <w:szCs w:val="24"/>
              </w:rPr>
              <w:t>对毕业论文或毕业设计的质量有得力的监控措施且执行情况良好；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社会需求调研制度化。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7" w:hRule="atLeast"/>
          <w:jc w:val="center"/>
        </w:trPr>
        <w:tc>
          <w:tcPr>
            <w:tcW w:w="2367" w:type="dxa"/>
            <w:vMerge w:val="continue"/>
            <w:vAlign w:val="center"/>
          </w:tcPr>
          <w:p>
            <w:pPr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419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实验教学体系建设（文科部分专业本条可适当放宽）</w:t>
            </w:r>
          </w:p>
        </w:tc>
        <w:tc>
          <w:tcPr>
            <w:tcW w:w="9824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实践教学体系设计科学合理，及时动态更新。不断改革创新实践教学内容，开展多种形式的实践教学活动，创造条件促进学生较早参加科研和创新活动，实施效果良好；有稳定的校内外实习基地,能满足因材施教的实践教学要求；实习时间有保证,措施完善,效果好；实践教学队伍结构合理，满足教学需要；专业实验室场地充足、设备完善，运行投入常态化，开放共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5" w:hRule="atLeast"/>
          <w:jc w:val="center"/>
        </w:trPr>
        <w:tc>
          <w:tcPr>
            <w:tcW w:w="2367" w:type="dxa"/>
            <w:vMerge w:val="restart"/>
            <w:vAlign w:val="center"/>
          </w:tcPr>
          <w:p>
            <w:pPr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5.人才培养质量和社会声誉（15分）</w:t>
            </w:r>
          </w:p>
        </w:tc>
        <w:tc>
          <w:tcPr>
            <w:tcW w:w="241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人才培养质量</w:t>
            </w:r>
          </w:p>
        </w:tc>
        <w:tc>
          <w:tcPr>
            <w:tcW w:w="9824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学生思想道德素养和文化素质水平较高；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学生创新精神和实践能力强。佐证材料中含有高水平的学生创新或获奖成果。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atLeast"/>
          <w:jc w:val="center"/>
        </w:trPr>
        <w:tc>
          <w:tcPr>
            <w:tcW w:w="2367" w:type="dxa"/>
            <w:vMerge w:val="continue"/>
            <w:vAlign w:val="center"/>
          </w:tcPr>
          <w:p>
            <w:pPr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419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社会声誉</w:t>
            </w:r>
          </w:p>
        </w:tc>
        <w:tc>
          <w:tcPr>
            <w:tcW w:w="9824" w:type="dxa"/>
            <w:vAlign w:val="center"/>
          </w:tcPr>
          <w:p>
            <w:pPr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毕业生的综合评价好。毕业生在社会上的声誉好，对经济社会发展贡献大。在同类学校或同类专业中反响好，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专业建设成果示范辐射作用成效显著，在国内有较大影响。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7" w:hRule="atLeast"/>
          <w:jc w:val="center"/>
        </w:trPr>
        <w:tc>
          <w:tcPr>
            <w:tcW w:w="2367" w:type="dxa"/>
            <w:vMerge w:val="continue"/>
            <w:vAlign w:val="center"/>
          </w:tcPr>
          <w:p>
            <w:pPr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41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特色项目</w:t>
            </w:r>
          </w:p>
        </w:tc>
        <w:tc>
          <w:tcPr>
            <w:tcW w:w="9824" w:type="dxa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在专业建设中形成优于其他同类专业的独特优质风貌，特色对优化人才培养过程,提高教学质量作用大，效果显著。</w:t>
            </w:r>
          </w:p>
        </w:tc>
      </w:tr>
    </w:tbl>
    <w:p>
      <w:pPr>
        <w:rPr>
          <w:rFonts w:hint="eastAsia" w:ascii="仿宋_GB2312" w:eastAsia="仿宋_GB2312"/>
          <w:sz w:val="24"/>
          <w:szCs w:val="24"/>
        </w:rPr>
      </w:pPr>
    </w:p>
    <w:sectPr>
      <w:pgSz w:w="16838" w:h="11906" w:orient="landscape"/>
      <w:pgMar w:top="964" w:right="964" w:bottom="964" w:left="96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7E3"/>
    <w:rsid w:val="00092DE0"/>
    <w:rsid w:val="00161F06"/>
    <w:rsid w:val="001D2EB0"/>
    <w:rsid w:val="001F638B"/>
    <w:rsid w:val="00201452"/>
    <w:rsid w:val="0021290D"/>
    <w:rsid w:val="0023620F"/>
    <w:rsid w:val="002B27E5"/>
    <w:rsid w:val="00356FA2"/>
    <w:rsid w:val="0039406F"/>
    <w:rsid w:val="003B01CD"/>
    <w:rsid w:val="003D0571"/>
    <w:rsid w:val="0043632B"/>
    <w:rsid w:val="00463111"/>
    <w:rsid w:val="004C1B88"/>
    <w:rsid w:val="004D34C2"/>
    <w:rsid w:val="00534047"/>
    <w:rsid w:val="00550E6D"/>
    <w:rsid w:val="005C5517"/>
    <w:rsid w:val="005D06DD"/>
    <w:rsid w:val="006473DA"/>
    <w:rsid w:val="00656174"/>
    <w:rsid w:val="00690A3F"/>
    <w:rsid w:val="0069372A"/>
    <w:rsid w:val="00700C15"/>
    <w:rsid w:val="00707CD8"/>
    <w:rsid w:val="007467F2"/>
    <w:rsid w:val="00755012"/>
    <w:rsid w:val="007F2AF7"/>
    <w:rsid w:val="007F7577"/>
    <w:rsid w:val="0086451A"/>
    <w:rsid w:val="008924DF"/>
    <w:rsid w:val="00924532"/>
    <w:rsid w:val="009437E3"/>
    <w:rsid w:val="0096291F"/>
    <w:rsid w:val="00973FEF"/>
    <w:rsid w:val="009A688C"/>
    <w:rsid w:val="00A03F81"/>
    <w:rsid w:val="00B27C10"/>
    <w:rsid w:val="00B601D4"/>
    <w:rsid w:val="00B75F22"/>
    <w:rsid w:val="00B7695D"/>
    <w:rsid w:val="00BB51B6"/>
    <w:rsid w:val="00C05194"/>
    <w:rsid w:val="00C42F7E"/>
    <w:rsid w:val="00C83447"/>
    <w:rsid w:val="00C9318F"/>
    <w:rsid w:val="00CF0872"/>
    <w:rsid w:val="00CF5F00"/>
    <w:rsid w:val="00D72C58"/>
    <w:rsid w:val="00DB2E19"/>
    <w:rsid w:val="00DD7571"/>
    <w:rsid w:val="00DE353A"/>
    <w:rsid w:val="00F56751"/>
    <w:rsid w:val="00FD0027"/>
    <w:rsid w:val="7DA30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5"/>
    <w:link w:val="4"/>
    <w:uiPriority w:val="99"/>
    <w:rPr>
      <w:sz w:val="18"/>
      <w:szCs w:val="18"/>
    </w:rPr>
  </w:style>
  <w:style w:type="character" w:customStyle="1" w:styleId="8">
    <w:name w:val="页脚 字符"/>
    <w:basedOn w:val="5"/>
    <w:link w:val="3"/>
    <w:uiPriority w:val="99"/>
    <w:rPr>
      <w:sz w:val="18"/>
      <w:szCs w:val="18"/>
    </w:rPr>
  </w:style>
  <w:style w:type="character" w:customStyle="1" w:styleId="9">
    <w:name w:val="批注框文本 字符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298</Words>
  <Characters>1699</Characters>
  <Lines>14</Lines>
  <Paragraphs>3</Paragraphs>
  <TotalTime>1</TotalTime>
  <ScaleCrop>false</ScaleCrop>
  <LinksUpToDate>false</LinksUpToDate>
  <CharactersWithSpaces>1994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2020-11-30T03:16:00Z</dcterms:created>
  <dc:creator>րଡ଼</dc:creator>
  <cp:lastModifiedBy>郭伟明</cp:lastModifiedBy>
  <cp:lastPrinted>2017-06-23T03:44:00Z</cp:lastPrinted>
  <dcterms:modified xsi:type="dcterms:W3CDTF">2022-02-28T09:07:33Z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